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A2BE4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EA2BE4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EA2BE4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EA2BE4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EA2BE4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EA2BE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0"/>
                  </w:tblGrid>
                  <w:tr w:rsidR="00EA2BE4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EA2BE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A2BE4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ГРБС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79972568</w:t>
                  </w:r>
                </w:p>
              </w:tc>
            </w:tr>
            <w:tr w:rsidR="00EA2BE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  <w:jc w:val="center"/>
                  </w:pPr>
                </w:p>
              </w:tc>
            </w:tr>
            <w:tr w:rsidR="00EA2BE4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  <w:jc w:val="center"/>
                  </w:pPr>
                </w:p>
              </w:tc>
            </w:tr>
            <w:tr w:rsidR="00EA2BE4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Мирошкинский</w:t>
                  </w:r>
                  <w:proofErr w:type="spellEnd"/>
                  <w:r>
                    <w:rPr>
                      <w:color w:val="000000"/>
                      <w:u w:val="single"/>
                    </w:rPr>
                    <w:t xml:space="preserve"> сельсовет Первомайского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018</w:t>
                  </w:r>
                </w:p>
              </w:tc>
            </w:tr>
            <w:tr w:rsidR="00EA2BE4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 xml:space="preserve">Сельское поселение </w:t>
                  </w:r>
                  <w:proofErr w:type="spellStart"/>
                  <w:r>
                    <w:rPr>
                      <w:color w:val="000000"/>
                      <w:u w:val="single"/>
                    </w:rPr>
                    <w:t>Мирошкинское</w:t>
                  </w:r>
                  <w:proofErr w:type="spellEnd"/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  <w:jc w:val="center"/>
                  </w:pPr>
                </w:p>
              </w:tc>
            </w:tr>
            <w:tr w:rsidR="00EA2BE4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87"/>
                  </w:tblGrid>
                  <w:tr w:rsidR="00EA2BE4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53636413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A2BE4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spacing w:line="1" w:lineRule="auto"/>
                    <w:jc w:val="center"/>
                  </w:pPr>
                </w:p>
              </w:tc>
            </w:tr>
            <w:tr w:rsidR="00EA2BE4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EA2BE4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20"/>
                  </w:tblGrid>
                  <w:tr w:rsidR="00EA2BE4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A2BE4" w:rsidRDefault="001F390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EA2BE4" w:rsidRDefault="00EA2BE4">
            <w:pPr>
              <w:spacing w:line="1" w:lineRule="auto"/>
            </w:pPr>
          </w:p>
        </w:tc>
      </w:tr>
    </w:tbl>
    <w:p w:rsidR="00EA2BE4" w:rsidRDefault="00EA2BE4">
      <w:pPr>
        <w:rPr>
          <w:vanish/>
        </w:rPr>
      </w:pPr>
      <w:bookmarkStart w:id="2" w:name="__bookmark_3"/>
      <w:bookmarkEnd w:id="2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A2BE4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Полное наименование: Администрация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Мирошкинский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области. Сокращенное наименование: Администрация МО </w:t>
            </w:r>
            <w:proofErr w:type="spellStart"/>
            <w:r>
              <w:rPr>
                <w:color w:val="000000"/>
                <w:sz w:val="28"/>
                <w:szCs w:val="28"/>
              </w:rPr>
              <w:t>Мирошкинский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области. Организационно-прав</w:t>
            </w:r>
            <w:r>
              <w:rPr>
                <w:color w:val="000000"/>
                <w:sz w:val="28"/>
                <w:szCs w:val="28"/>
              </w:rPr>
              <w:t xml:space="preserve">овая форма: муниципальное казенное учреждение. Юридический почтовый адрес и адрес местонахождения:461987 Оренбургская область, Первомайский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Мирошкино</w:t>
            </w:r>
            <w:proofErr w:type="spellEnd"/>
            <w:r>
              <w:rPr>
                <w:color w:val="000000"/>
                <w:sz w:val="28"/>
                <w:szCs w:val="28"/>
              </w:rPr>
              <w:t>, ул. Центральная, 31. Учреждение действует на основании устава, утвержденного решением Совета де</w:t>
            </w:r>
            <w:r>
              <w:rPr>
                <w:color w:val="000000"/>
                <w:sz w:val="28"/>
                <w:szCs w:val="28"/>
              </w:rPr>
              <w:t xml:space="preserve">путатов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Мирошкинский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 18 декабря 2015 года № 26. Подведомственных учреждений не имеет. Администрация МО </w:t>
            </w:r>
            <w:proofErr w:type="spellStart"/>
            <w:r>
              <w:rPr>
                <w:color w:val="000000"/>
                <w:sz w:val="28"/>
                <w:szCs w:val="28"/>
              </w:rPr>
              <w:t>Мирошкинский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Первомайского района Оренбургской области является </w:t>
            </w:r>
            <w:r>
              <w:rPr>
                <w:color w:val="000000"/>
                <w:sz w:val="28"/>
                <w:szCs w:val="28"/>
              </w:rPr>
              <w:t>главным распорядителем бюджетных средств и главным администратором доходов. Код главы главного распорядителя бюджетных средств 018. Учреждение является юридическим лицом, самостоятельно осуществляет финансово-хозяйственную деятельность, имеет самостоятельн</w:t>
            </w:r>
            <w:r>
              <w:rPr>
                <w:color w:val="000000"/>
                <w:sz w:val="28"/>
                <w:szCs w:val="28"/>
              </w:rPr>
              <w:t>ый баланс и лицевой счет, обладает обособленным имуществом. Бухгалтерский учет ведется главным специалистом МКУ «Единая централизованная система учета». Учреждение вправе от своего имени заключать договоры, приобретать и осуществлять имущественные и личные</w:t>
            </w:r>
            <w:r>
              <w:rPr>
                <w:color w:val="000000"/>
                <w:sz w:val="28"/>
                <w:szCs w:val="28"/>
              </w:rPr>
              <w:t xml:space="preserve"> неимущественные права, нести ответственность, быть истцом и ответчиком в суде, арбитражном суде.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Подведомственных подразделений и филиалов у учреждения нет.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</w:t>
            </w:r>
            <w:r>
              <w:rPr>
                <w:b/>
                <w:bCs/>
                <w:color w:val="000000"/>
                <w:sz w:val="28"/>
                <w:szCs w:val="28"/>
              </w:rPr>
              <w:t>ы деятельности субъекта бюджетной отчетности»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сельского поселения осу</w:t>
            </w:r>
            <w:r>
              <w:rPr>
                <w:color w:val="000000"/>
                <w:sz w:val="28"/>
                <w:szCs w:val="28"/>
              </w:rPr>
              <w:t xml:space="preserve">ществляется в соответствие с бюджетным законодательством РФ, законодательством о налогах и сборах и законодательством об иных обязательных </w:t>
            </w:r>
            <w:proofErr w:type="spellStart"/>
            <w:r>
              <w:rPr>
                <w:color w:val="000000"/>
                <w:sz w:val="28"/>
                <w:szCs w:val="28"/>
              </w:rPr>
              <w:t>платежах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штатном расписании учреждения утверждено 8,15 штатных единиц, свободных вакансий на начало и конец года не</w:t>
            </w:r>
            <w:r>
              <w:rPr>
                <w:color w:val="000000"/>
                <w:sz w:val="28"/>
                <w:szCs w:val="28"/>
              </w:rPr>
              <w:t xml:space="preserve">т. Все сотрудники учреждения соответствуют </w:t>
            </w:r>
            <w:proofErr w:type="spellStart"/>
            <w:r>
              <w:rPr>
                <w:color w:val="000000"/>
                <w:sz w:val="28"/>
                <w:szCs w:val="28"/>
              </w:rPr>
              <w:t>профстандартам</w:t>
            </w:r>
            <w:proofErr w:type="spellEnd"/>
            <w:r>
              <w:rPr>
                <w:color w:val="000000"/>
                <w:sz w:val="28"/>
                <w:szCs w:val="28"/>
              </w:rPr>
              <w:t>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Учреждение снабжено копировальной техникой, факси</w:t>
            </w:r>
            <w:r>
              <w:rPr>
                <w:color w:val="000000"/>
                <w:sz w:val="28"/>
                <w:szCs w:val="28"/>
              </w:rPr>
              <w:t xml:space="preserve">мильной связью. Лимиты потребления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теплоэнергоресурсов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соблюдаются. Перерасхода нет.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Учреждение является получателем бюджетных средств, финансируется за счет средств бюдже</w:t>
            </w:r>
            <w:r>
              <w:rPr>
                <w:color w:val="000000"/>
                <w:sz w:val="28"/>
                <w:szCs w:val="28"/>
              </w:rPr>
              <w:t>та сельского поселения. На 2018 год доходная часть утверждена в сумме 4009437,00 руб. За 2018 год доходная часть исполнена в сумме 4098338 руб. 53 коп, что составляет 102,2% от бюджетных назначений на 2018 год. Процент исполнения бюджета по доходам превыша</w:t>
            </w:r>
            <w:r>
              <w:rPr>
                <w:color w:val="000000"/>
                <w:sz w:val="28"/>
                <w:szCs w:val="28"/>
              </w:rPr>
              <w:t>ет минимальный порог в 95%. На 2018 год Учреждению доведены лимиты бюджетных обязательств в сумме 4200437,00 руб. За 2018 год бюджетные средства израсходованы в размере 4124903 руб. 68 коп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>
              <w:rPr>
                <w:color w:val="000000"/>
                <w:sz w:val="28"/>
                <w:szCs w:val="28"/>
              </w:rPr>
              <w:t>что составляет 98,2% от бюджетных назначений на 2018 год. Процент</w:t>
            </w:r>
            <w:r>
              <w:rPr>
                <w:color w:val="000000"/>
                <w:sz w:val="28"/>
                <w:szCs w:val="28"/>
              </w:rPr>
              <w:t xml:space="preserve"> исполнения бюджета по расходам выше минимального порога 95%. Показатели неисполнения бюджета по расходам, отраженные в Сведениях об исполнении бюджета (ф. 0503164): раздел 0309 исполнено 91% отклонения от назначений в сумме 54422,53руб. исполнение сложило</w:t>
            </w:r>
            <w:r>
              <w:rPr>
                <w:color w:val="000000"/>
                <w:sz w:val="28"/>
                <w:szCs w:val="28"/>
              </w:rPr>
              <w:t>сь исходя из оплаты работ по фактически заключенным договорам, на основании актов выполненных работ. В 2018 году учреждение не принимало бюджетные и денежные обязательства сверх утвержденных бюджетных назначений.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</w:t>
            </w:r>
            <w:r>
              <w:rPr>
                <w:b/>
                <w:bCs/>
                <w:color w:val="000000"/>
                <w:sz w:val="28"/>
                <w:szCs w:val="28"/>
              </w:rPr>
              <w:t>ской отчетности субъекта бюджетной отчетности»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состоянию на 1 января 2018 года стоимость основных средств составила 1106378руб. 48 коп, на конец года - 1756947 руб. 69 коп. В 2018 году приобретено и передано безвозмездно основное средство (насос) на с</w:t>
            </w:r>
            <w:r>
              <w:rPr>
                <w:color w:val="000000"/>
                <w:sz w:val="28"/>
                <w:szCs w:val="28"/>
              </w:rPr>
              <w:t xml:space="preserve">умму 62000 </w:t>
            </w:r>
            <w:proofErr w:type="spellStart"/>
            <w:r>
              <w:rPr>
                <w:color w:val="000000"/>
                <w:sz w:val="28"/>
                <w:szCs w:val="28"/>
              </w:rPr>
              <w:t>рублей</w:t>
            </w:r>
            <w:proofErr w:type="gramStart"/>
            <w:r>
              <w:rPr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color w:val="000000"/>
                <w:sz w:val="28"/>
                <w:szCs w:val="28"/>
              </w:rPr>
              <w:t>приходованы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ранее неучтенные основные средства (здания)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 сумму 650569,21 Приняты в имущество казны ранее неучтенные объекты основных средств(автомобильные </w:t>
            </w:r>
            <w:proofErr w:type="spellStart"/>
            <w:r>
              <w:rPr>
                <w:color w:val="000000"/>
                <w:sz w:val="28"/>
                <w:szCs w:val="28"/>
              </w:rPr>
              <w:t>дороги,памятники</w:t>
            </w:r>
            <w:proofErr w:type="spellEnd"/>
            <w:r>
              <w:rPr>
                <w:color w:val="000000"/>
                <w:sz w:val="28"/>
                <w:szCs w:val="28"/>
              </w:rPr>
              <w:t>, водопроводные сети и скважины)на сумму 2761586,64руб. Приобрет</w:t>
            </w:r>
            <w:r>
              <w:rPr>
                <w:color w:val="000000"/>
                <w:sz w:val="28"/>
                <w:szCs w:val="28"/>
              </w:rPr>
              <w:t>ено материальных запасов на сумму 143002,44 руб., списано на сумму 142142,78 руб.(Сведения о движении нефинансовых активов ф. 0503168). По состоянию на 1 января 2019 года кредиторская задолженность составляет 61280 руб. 12 коп., в том числе 812,0руб.- задо</w:t>
            </w:r>
            <w:r>
              <w:rPr>
                <w:color w:val="000000"/>
                <w:sz w:val="28"/>
                <w:szCs w:val="28"/>
              </w:rPr>
              <w:t>лженность по авансовым отчетам, 1301,00руб</w:t>
            </w:r>
            <w:proofErr w:type="gramStart"/>
            <w:r>
              <w:rPr>
                <w:color w:val="000000"/>
                <w:sz w:val="28"/>
                <w:szCs w:val="28"/>
              </w:rPr>
              <w:t>.-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задолженность по налоговым платежам(данная задолженность погашена по другому КБК), 825,06руб. - за услуги связи, 58342,06руб. - коммунальные услуги . Дебиторская задолженность составила 3546 руб. 21 коп., из них </w:t>
            </w:r>
            <w:r>
              <w:rPr>
                <w:color w:val="000000"/>
                <w:sz w:val="28"/>
                <w:szCs w:val="28"/>
              </w:rPr>
              <w:t>120 руб. 72 коп. - сумма авансовых платежей, 3425 руб. 49 коп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ереплата по страховым взносам. Просроченная дебиторская, кредиторская задолженность отсутствует. Недостач и хищений имущества в отчетный период не было. Незавершенных объектов капитального с</w:t>
            </w:r>
            <w:r>
              <w:rPr>
                <w:color w:val="000000"/>
                <w:sz w:val="28"/>
                <w:szCs w:val="28"/>
              </w:rPr>
              <w:t>троительства нет. В кассе наличных денег на 1 января 2019 года нет.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2BE4" w:rsidRDefault="001F39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имущества казны: Земельный участок - 20;</w:t>
            </w:r>
            <w:r>
              <w:rPr>
                <w:color w:val="000000"/>
                <w:sz w:val="28"/>
                <w:szCs w:val="28"/>
              </w:rPr>
              <w:tab/>
              <w:t xml:space="preserve"> автодорога местного значения - 15;  памятник воинам-землякам - 2, водопроводные сети и скважины - 4. Проведена годовая инвентаризация согласно распоряжению от 24.12.2018 г. № 12-р. Излишек и недостач не вы</w:t>
            </w:r>
            <w:r>
              <w:rPr>
                <w:color w:val="000000"/>
                <w:sz w:val="28"/>
                <w:szCs w:val="28"/>
              </w:rPr>
              <w:t>явлено (Таблица 6 не предоставлена).   В связи с отсутствием цифровых показателей в составе годовой отчетности и пояснительной записки к ней не представлены формы:    – Сведения о результатах деятельности (ф. 0503162);    – Сведения об изменениях бюджетной</w:t>
            </w:r>
            <w:r>
              <w:rPr>
                <w:color w:val="000000"/>
                <w:sz w:val="28"/>
                <w:szCs w:val="28"/>
              </w:rPr>
              <w:t xml:space="preserve"> росписи главного распорядителя бюджетных средств (ф. 0503163);    – Сведения об исполнении мероприятий в рамках целевых программ (ф. 0503166);    – Сведения о целевых иностранных кредитах (ф. 0503167);    – Сведения о госдолге, бюджетных кредитах (ф. 0503</w:t>
            </w:r>
            <w:r>
              <w:rPr>
                <w:color w:val="000000"/>
                <w:sz w:val="28"/>
                <w:szCs w:val="28"/>
              </w:rPr>
              <w:t>172);    – Сведения об изменении остатков валюты баланса. Бюджетная деятельность (ф. 0503173);    –Сведения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</w:t>
            </w:r>
            <w:r>
              <w:rPr>
                <w:color w:val="000000"/>
                <w:sz w:val="28"/>
                <w:szCs w:val="28"/>
              </w:rPr>
              <w:t>ым участием в капитале (ф. 0503174);     –– Сведения об исполнении судебных решений по денежным обязательствам бюджета (ф. 0503296);   – Сведения о вложениях в объекты недвижимого имущества, объектах незавершенного строительства (ф. 0503190).</w:t>
            </w:r>
          </w:p>
        </w:tc>
      </w:tr>
      <w:tr w:rsidR="00EA2BE4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2BE4" w:rsidRDefault="00EA2BE4">
      <w:pPr>
        <w:rPr>
          <w:vanish/>
        </w:rPr>
      </w:pPr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A2BE4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 w:firstRow="1" w:lastRow="1" w:firstColumn="1" w:lastColumn="1" w:noHBand="0" w:noVBand="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EA2BE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A2BE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bookmarkStart w:id="3" w:name="__bookmark_4"/>
                        <w:bookmarkEnd w:id="3"/>
                        <w:r>
                          <w:rPr>
                            <w:color w:val="000000"/>
                          </w:rPr>
                          <w:t xml:space="preserve">Глава </w:t>
                        </w:r>
                        <w:r>
                          <w:rPr>
                            <w:color w:val="000000"/>
                          </w:rPr>
                          <w:t>администрации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A2BE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Луконина Ольга Георгиевна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1F390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A2BE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A2BE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Сертификат: 26CF333A84106312E239D254718AF4C15B51DB49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Владелец: Луконина Ольга Георгиевна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Действителен с 18.05.2018 по 18.08.2019</w:t>
                              </w:r>
                            </w:p>
                          </w:tc>
                        </w:tr>
                      </w:tbl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A2BE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A2BE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A2BE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A2BE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1F390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A2BE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A2BE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Сертификат: 00E28C26EF94089D85E81141276EDF883E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Действителен с 14.03.2018 по 14.06.2019</w:t>
                              </w:r>
                            </w:p>
                          </w:tc>
                        </w:tr>
                      </w:tbl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0"/>
                  </w:tblGrid>
                  <w:tr w:rsidR="00EA2BE4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>Директор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1"/>
                  </w:tblGrid>
                  <w:tr w:rsidR="00EA2BE4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pPr>
                          <w:jc w:val="center"/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Грушевская Ирина Владимировна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rPr>
                <w:trHeight w:val="230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0"/>
                    <w:gridCol w:w="1005"/>
                    <w:gridCol w:w="1005"/>
                    <w:gridCol w:w="1005"/>
                    <w:gridCol w:w="1005"/>
                    <w:gridCol w:w="1005"/>
                  </w:tblGrid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1F390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ДОКУМЕНТ ПОДПИСАН ЭЛЕКТРОННОЙ ПОДПИСЬЮ</w:t>
                        </w:r>
                      </w:p>
                    </w:tc>
                  </w:tr>
                  <w:tr w:rsidR="00EA2BE4">
                    <w:trPr>
                      <w:trHeight w:val="105"/>
                    </w:trPr>
                    <w:tc>
                      <w:tcPr>
                        <w:tcW w:w="6015" w:type="dxa"/>
                        <w:gridSpan w:val="6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230"/>
                    </w:trPr>
                    <w:tc>
                      <w:tcPr>
                        <w:tcW w:w="6015" w:type="dxa"/>
                        <w:gridSpan w:val="6"/>
                        <w:vMerge w:val="restart"/>
                        <w:tcBorders>
                          <w:right w:val="single" w:sz="1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60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015"/>
                        </w:tblGrid>
                        <w:tr w:rsidR="00EA2BE4">
                          <w:tc>
                            <w:tcPr>
                              <w:tcW w:w="60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Сертификат: 00E28C26EF94089D85E81141276EDF883E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Владелец: Грушевская Ирина Владимировна</w:t>
                              </w:r>
                            </w:p>
                            <w:p w:rsidR="00EA2BE4" w:rsidRDefault="001F3902">
                              <w:r>
                                <w:rPr>
                                  <w:color w:val="000000"/>
                                </w:rPr>
                                <w:t>Действителен с 14.03.2018 по 14.06.2019</w:t>
                              </w:r>
                            </w:p>
                          </w:tc>
                        </w:tr>
                      </w:tbl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  <w:tr w:rsidR="00EA2BE4">
                    <w:trPr>
                      <w:trHeight w:val="45"/>
                    </w:trPr>
                    <w:tc>
                      <w:tcPr>
                        <w:tcW w:w="9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10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EA2BE4">
                        <w:pPr>
                          <w:spacing w:line="1" w:lineRule="auto"/>
                        </w:pP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1F390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  <w:tr w:rsidR="00EA2BE4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593"/>
                  </w:tblGrid>
                  <w:tr w:rsidR="00EA2BE4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EA2BE4" w:rsidRDefault="001F3902">
                        <w:r>
                          <w:rPr>
                            <w:color w:val="000000"/>
                          </w:rPr>
                          <w:t>30 января 2019 г.</w:t>
                        </w:r>
                      </w:p>
                    </w:tc>
                  </w:tr>
                </w:tbl>
                <w:p w:rsidR="00EA2BE4" w:rsidRDefault="00EA2BE4">
                  <w:pPr>
                    <w:spacing w:line="1" w:lineRule="auto"/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BE4" w:rsidRDefault="00EA2BE4">
                  <w:pPr>
                    <w:spacing w:line="1" w:lineRule="auto"/>
                  </w:pPr>
                </w:p>
              </w:tc>
            </w:tr>
          </w:tbl>
          <w:p w:rsidR="00EA2BE4" w:rsidRDefault="00EA2BE4">
            <w:pPr>
              <w:spacing w:line="1" w:lineRule="auto"/>
            </w:pPr>
          </w:p>
        </w:tc>
      </w:tr>
    </w:tbl>
    <w:p w:rsidR="00EA2BE4" w:rsidRDefault="00EA2BE4">
      <w:pPr>
        <w:sectPr w:rsidR="00EA2BE4">
          <w:headerReference w:type="default" r:id="rId7"/>
          <w:footerReference w:type="default" r:id="rId8"/>
          <w:pgSz w:w="11055" w:h="16837"/>
          <w:pgMar w:top="1133" w:right="566" w:bottom="1133" w:left="1133" w:header="1133" w:footer="1133" w:gutter="0"/>
          <w:cols w:space="720"/>
        </w:sectPr>
      </w:pPr>
    </w:p>
    <w:p w:rsidR="00EA2BE4" w:rsidRDefault="00EA2BE4">
      <w:pPr>
        <w:rPr>
          <w:vanish/>
        </w:rPr>
      </w:pPr>
      <w:bookmarkStart w:id="4" w:name="__bookmark_6"/>
      <w:bookmarkEnd w:id="4"/>
    </w:p>
    <w:tbl>
      <w:tblPr>
        <w:tblOverlap w:val="never"/>
        <w:tblW w:w="9348" w:type="dxa"/>
        <w:tblLayout w:type="fixed"/>
        <w:tblLook w:val="01E0" w:firstRow="1" w:lastRow="1" w:firstColumn="1" w:lastColumn="1" w:noHBand="0" w:noVBand="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EA2BE4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</w:tbl>
    <w:p w:rsidR="00EA2BE4" w:rsidRDefault="00EA2BE4">
      <w:pPr>
        <w:rPr>
          <w:vanish/>
        </w:rPr>
      </w:pPr>
      <w:bookmarkStart w:id="5" w:name="__bookmark_7"/>
      <w:bookmarkEnd w:id="5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органов местного самоуправления сельских поселений.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закон от 06.10.2003г.№131-ФЗ" Об общих принципах самоуправления в Российской Федерации" Устав муниципального образования Революционный сельсовет Первомайского района, принят решением Совета депутатов муниципального образования Революционный сел</w:t>
            </w:r>
            <w:r>
              <w:rPr>
                <w:color w:val="000000"/>
                <w:sz w:val="16"/>
                <w:szCs w:val="16"/>
              </w:rPr>
              <w:t>ьсовет Первомайского района Оренбургской области от 18.12.2015г.№19.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</w:tbl>
    <w:p w:rsidR="00EA2BE4" w:rsidRDefault="00EA2BE4">
      <w:pPr>
        <w:sectPr w:rsidR="00EA2BE4">
          <w:headerReference w:type="default" r:id="rId9"/>
          <w:footerReference w:type="default" r:id="rId10"/>
          <w:pgSz w:w="11055" w:h="16837"/>
          <w:pgMar w:top="1133" w:right="566" w:bottom="1133" w:left="1133" w:header="1133" w:footer="1133" w:gutter="0"/>
          <w:cols w:space="720"/>
        </w:sectPr>
      </w:pPr>
    </w:p>
    <w:p w:rsidR="00EA2BE4" w:rsidRDefault="00EA2BE4">
      <w:pPr>
        <w:rPr>
          <w:vanish/>
        </w:rPr>
      </w:pPr>
      <w:bookmarkStart w:id="6" w:name="__bookmark_9"/>
      <w:bookmarkEnd w:id="6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EA2BE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области:№109 от 29.12.2017г</w:t>
            </w:r>
            <w:proofErr w:type="gramStart"/>
            <w:r>
              <w:rPr>
                <w:color w:val="000000"/>
                <w:sz w:val="16"/>
                <w:szCs w:val="16"/>
              </w:rPr>
              <w:t>."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Об утверждении бюджета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на </w:t>
            </w:r>
            <w:r>
              <w:rPr>
                <w:color w:val="000000"/>
                <w:sz w:val="16"/>
                <w:szCs w:val="16"/>
              </w:rPr>
              <w:t xml:space="preserve">2018г. и плановый период 2019-2020гг." №119 от 28.04.2018г " О внесении изменений в решение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№102 от 29.12.2017г. "Об утверждении бюджета муниципаль</w:t>
            </w:r>
            <w:r>
              <w:rPr>
                <w:color w:val="000000"/>
                <w:sz w:val="16"/>
                <w:szCs w:val="16"/>
              </w:rPr>
              <w:t xml:space="preserve">ного образования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на 2018г. и плановый период 2019-2020гг." №129 от 15.08.2018г " О внесении изменений в решение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</w:t>
            </w:r>
            <w:r>
              <w:rPr>
                <w:color w:val="000000"/>
                <w:sz w:val="16"/>
                <w:szCs w:val="16"/>
              </w:rPr>
              <w:t xml:space="preserve">о района Оренбургской области №109 от 29.12.2017г. "Об утверждении бюджета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на 2018г. и плановый период 2019-2020гг." №143 от 26.12.2018г " О внесении изменений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</w:t>
            </w:r>
            <w:r>
              <w:rPr>
                <w:color w:val="000000"/>
                <w:sz w:val="16"/>
                <w:szCs w:val="16"/>
              </w:rPr>
              <w:t xml:space="preserve">шение Совета депутатов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№109 от 29.12.2017г. "Об утверждении бюджета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 на 2</w:t>
            </w:r>
            <w:r>
              <w:rPr>
                <w:color w:val="000000"/>
                <w:sz w:val="16"/>
                <w:szCs w:val="16"/>
              </w:rPr>
              <w:t>018г. и плановый период 2019-2020гг</w:t>
            </w:r>
            <w:proofErr w:type="gramStart"/>
            <w:r>
              <w:rPr>
                <w:color w:val="000000"/>
                <w:sz w:val="16"/>
                <w:szCs w:val="16"/>
              </w:rPr>
              <w:t>."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Утвердить основные характеристики местного бюджета на 2018г. в </w:t>
            </w:r>
            <w:proofErr w:type="spellStart"/>
            <w:r>
              <w:rPr>
                <w:color w:val="000000"/>
                <w:sz w:val="16"/>
                <w:szCs w:val="16"/>
              </w:rPr>
              <w:t>размерах:доход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сумме-4009437,00руб, расход в сумме-4200437,00 руб.- прогнозируемый дефицит бюджета муниципального образования МО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в </w:t>
            </w:r>
            <w:r>
              <w:rPr>
                <w:color w:val="000000"/>
                <w:sz w:val="16"/>
                <w:szCs w:val="16"/>
              </w:rPr>
              <w:t>сумме 191000,00руб.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Общий объем доходов составил- 4098338,53руб; 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>объем расходов-4124903,68руб.</w:t>
            </w:r>
            <w:r>
              <w:rPr>
                <w:color w:val="000000"/>
                <w:sz w:val="16"/>
                <w:szCs w:val="16"/>
              </w:rPr>
              <w:br/>
              <w:t>-профицит составил - 26565,15руб.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Доходная часть бюджета исполнена на 102,2%: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НДФЛ и акцизы поступили в большем объеме, чем было предусмотрено решением о бюджете </w:t>
            </w:r>
            <w:r>
              <w:rPr>
                <w:color w:val="000000"/>
                <w:sz w:val="16"/>
                <w:szCs w:val="16"/>
              </w:rPr>
              <w:br/>
              <w:t xml:space="preserve">– межбюджетные трансферты, субвенции, иные межбюджетные трансферты из бюджетов других уровней бюджету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в конце 2018 года</w:t>
            </w:r>
            <w:r>
              <w:rPr>
                <w:color w:val="000000"/>
                <w:sz w:val="16"/>
                <w:szCs w:val="16"/>
              </w:rPr>
              <w:t xml:space="preserve"> поступили  в полном объеме, согласно решению о бюджете</w:t>
            </w:r>
            <w:proofErr w:type="gramStart"/>
            <w:r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земельный налог с физических лиц выполнен в меньшем </w:t>
            </w:r>
            <w:proofErr w:type="spellStart"/>
            <w:r>
              <w:rPr>
                <w:color w:val="000000"/>
                <w:sz w:val="16"/>
                <w:szCs w:val="16"/>
              </w:rPr>
              <w:t>обьеме,чем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было предусмотрено решением о </w:t>
            </w:r>
            <w:proofErr w:type="spellStart"/>
            <w:r>
              <w:rPr>
                <w:color w:val="000000"/>
                <w:sz w:val="16"/>
                <w:szCs w:val="16"/>
              </w:rPr>
              <w:t>бюджете,требуется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уточнение налоговой базы.</w:t>
            </w:r>
            <w:r>
              <w:rPr>
                <w:color w:val="000000"/>
                <w:sz w:val="16"/>
                <w:szCs w:val="16"/>
              </w:rPr>
              <w:br/>
              <w:t>Расходная часть исполнена на 98%.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Установить в качестве меры социальной поддержки отдельных категорий квалифицированных работников бюджетной учреждений, финансируемых из средств местного бюджета, работающих и проживающих в сельской местности на территории Советского сельсовета на выплату е</w:t>
            </w:r>
            <w:r>
              <w:rPr>
                <w:color w:val="000000"/>
                <w:sz w:val="16"/>
                <w:szCs w:val="16"/>
              </w:rPr>
              <w:t>жемесячной денежной компенсации в размере 249 руб. специалистам в области культуры.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Утвердить дотации на выравнивание бюджетной обеспеченности поселений на 2018г.-2524000,00 руб.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 поселения на 2018г перечислены в размере 2524000,00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</w:tbl>
    <w:p w:rsidR="00EA2BE4" w:rsidRDefault="00EA2BE4">
      <w:pPr>
        <w:sectPr w:rsidR="00EA2BE4">
          <w:headerReference w:type="default" r:id="rId11"/>
          <w:footerReference w:type="default" r:id="rId12"/>
          <w:pgSz w:w="11055" w:h="16837"/>
          <w:pgMar w:top="1133" w:right="566" w:bottom="1133" w:left="1133" w:header="1133" w:footer="1133" w:gutter="0"/>
          <w:cols w:space="720"/>
        </w:sectPr>
      </w:pPr>
    </w:p>
    <w:p w:rsidR="00EA2BE4" w:rsidRDefault="00EA2BE4">
      <w:pPr>
        <w:rPr>
          <w:vanish/>
        </w:rPr>
      </w:pPr>
      <w:bookmarkStart w:id="7" w:name="__bookmark_11"/>
      <w:bookmarkEnd w:id="7"/>
    </w:p>
    <w:tbl>
      <w:tblPr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EA2BE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  <w:jc w:val="center"/>
            </w:pPr>
          </w:p>
        </w:tc>
      </w:tr>
      <w:tr w:rsidR="00EA2BE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"Основные средства стоимостью до 10 000 руб. включительно в эксплуатации"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00021000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29.12.2017 г. № 17-р "Об утверждении учетной политики для целей бюджетного учета администрации 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</w:t>
            </w:r>
            <w:r>
              <w:rPr>
                <w:color w:val="000000"/>
                <w:sz w:val="16"/>
                <w:szCs w:val="16"/>
              </w:rPr>
              <w:t>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 производится по фактической стоимости каждой единицы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29.12.2017 г. № 17-р "Об утверждении учетной политики для целей бюджетного учета администрации 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"Резервы  предстоящей оплаты  отпусков"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40160000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"И</w:t>
            </w:r>
            <w:r>
              <w:rPr>
                <w:color w:val="000000"/>
                <w:sz w:val="16"/>
                <w:szCs w:val="16"/>
              </w:rPr>
              <w:t>спользуются счета аналитического учета: 1.401.60.211 «Резерв на оплату отпусков за фактически отработанное время в части выплат персоналу» 1.401.60.213 «Резерв на оплату отпусков за фактически отработанное время в части оплаты страховых взносов»   Сумма ре</w:t>
            </w:r>
            <w:r>
              <w:rPr>
                <w:color w:val="000000"/>
                <w:sz w:val="16"/>
                <w:szCs w:val="16"/>
              </w:rPr>
              <w:t>зерва рассчитывается как произведение количества неиспользованных всеми сотрудниками учреждения дней отпусков на конец квартала (по данным кадрового учета) и среднего дневного заработка по учреждению за последние 12 месяцев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учетом начисленных взносов на </w:t>
            </w:r>
            <w:r>
              <w:rPr>
                <w:color w:val="000000"/>
                <w:sz w:val="16"/>
                <w:szCs w:val="16"/>
              </w:rPr>
              <w:t>обязательное страхование"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Распоряжение 29.12.2017 г. № 17-р "Об утверждении учетной политики для целей бюджетного учета администрации 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Мирошкинский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 Первомайского района Оренбургской области"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  <w:tr w:rsidR="00EA2BE4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1F390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BE4" w:rsidRDefault="00EA2BE4">
            <w:pPr>
              <w:spacing w:line="1" w:lineRule="auto"/>
            </w:pPr>
          </w:p>
        </w:tc>
      </w:tr>
    </w:tbl>
    <w:p w:rsidR="001F3902" w:rsidRDefault="001F3902"/>
    <w:sectPr w:rsidR="001F3902" w:rsidSect="00EA2BE4">
      <w:headerReference w:type="default" r:id="rId13"/>
      <w:footerReference w:type="default" r:id="rId14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02" w:rsidRDefault="001F3902" w:rsidP="00EA2BE4">
      <w:r>
        <w:separator/>
      </w:r>
    </w:p>
  </w:endnote>
  <w:endnote w:type="continuationSeparator" w:id="0">
    <w:p w:rsidR="001F3902" w:rsidRDefault="001F3902" w:rsidP="00EA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02" w:rsidRDefault="001F3902" w:rsidP="00EA2BE4">
      <w:r>
        <w:separator/>
      </w:r>
    </w:p>
  </w:footnote>
  <w:footnote w:type="continuationSeparator" w:id="0">
    <w:p w:rsidR="001F3902" w:rsidRDefault="001F3902" w:rsidP="00EA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1" w:type="dxa"/>
      <w:tblLayout w:type="fixed"/>
      <w:tblLook w:val="01E0" w:firstRow="1" w:lastRow="1" w:firstColumn="1" w:lastColumn="1" w:noHBand="0" w:noVBand="0"/>
    </w:tblPr>
    <w:tblGrid>
      <w:gridCol w:w="9571"/>
    </w:tblGrid>
    <w:tr w:rsidR="00EA2BE4">
      <w:trPr>
        <w:trHeight w:val="56"/>
      </w:trPr>
      <w:tc>
        <w:tcPr>
          <w:tcW w:w="9571" w:type="dxa"/>
        </w:tcPr>
        <w:p w:rsidR="00EA2BE4" w:rsidRDefault="00EA2B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E4"/>
    <w:rsid w:val="001F3902"/>
    <w:rsid w:val="00B400B2"/>
    <w:rsid w:val="00EA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 Сагидулловна Жбанова</dc:creator>
  <cp:lastModifiedBy>Фарида Сагидулловна Жбанова</cp:lastModifiedBy>
  <cp:revision>2</cp:revision>
  <dcterms:created xsi:type="dcterms:W3CDTF">2019-06-14T06:29:00Z</dcterms:created>
  <dcterms:modified xsi:type="dcterms:W3CDTF">2019-06-14T06:29:00Z</dcterms:modified>
</cp:coreProperties>
</file>